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BA" w:rsidRDefault="00B24BBA" w:rsidP="00B24B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Інвестиційна програма </w:t>
      </w:r>
      <w:proofErr w:type="spellStart"/>
      <w:r w:rsidRPr="00B24BBA">
        <w:rPr>
          <w:rFonts w:ascii="Times New Roman" w:hAnsi="Times New Roman" w:cs="Times New Roman"/>
          <w:b/>
          <w:sz w:val="24"/>
          <w:szCs w:val="24"/>
          <w:lang w:val="uk-UA"/>
        </w:rPr>
        <w:t>МКП</w:t>
      </w:r>
      <w:proofErr w:type="spellEnd"/>
      <w:r w:rsidRPr="00B24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B24BBA">
        <w:rPr>
          <w:rFonts w:ascii="Times New Roman" w:hAnsi="Times New Roman" w:cs="Times New Roman"/>
          <w:b/>
          <w:sz w:val="24"/>
          <w:szCs w:val="24"/>
          <w:lang w:val="uk-UA"/>
        </w:rPr>
        <w:t>ВУВКГ м. Херсона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B24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2016 рік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Згідно 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</w:t>
      </w:r>
      <w:proofErr w:type="spellStart"/>
      <w:r w:rsidRPr="00B24BBA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 – комунального господарства України від 14.12.2012 р. № 630, постановою Національної комісії, що здійснює державне регулювання у сфері комунальних послуг від 14.12.2012 р. № 381 та зареєстрованого в Міністерстві юстиції України 11.01.2013 р. за № 98/22630, суб’єктам природних монополій, які в установленому законодавством порядку отримали ліцензію на право здійснювати господарську діяльність з централізованого водопостачання та водовідведення, з метою визначення обґрунтованості запланованих ними капіталовкладень та витрат у структурі тарифів на централізоване водопостачання та водовідведення за регульованим тарифом на принципах економічної доцільності, а також цільового використання коштів цими суб’єктами, необхідно розробляти, погоджувати та затверджувати інвестиційну програму.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вказаного Порядку </w:t>
      </w:r>
      <w:proofErr w:type="spellStart"/>
      <w:r w:rsidRPr="00B24BBA"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24BBA">
        <w:rPr>
          <w:rFonts w:ascii="Times New Roman" w:hAnsi="Times New Roman" w:cs="Times New Roman"/>
          <w:sz w:val="24"/>
          <w:szCs w:val="24"/>
          <w:lang w:val="uk-UA"/>
        </w:rPr>
        <w:t>ВУВКГ м. Херсона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 інв</w:t>
      </w:r>
      <w:r>
        <w:rPr>
          <w:rFonts w:ascii="Times New Roman" w:hAnsi="Times New Roman" w:cs="Times New Roman"/>
          <w:sz w:val="24"/>
          <w:szCs w:val="24"/>
          <w:lang w:val="uk-UA"/>
        </w:rPr>
        <w:t>естиційну програму на 2016 рік.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інвестиційної програми планується виключно за рахунок коштів амортизаційних відрахувань. Загальна сума на реалізацію програми - 5307,34 </w:t>
      </w:r>
      <w:proofErr w:type="spellStart"/>
      <w:r w:rsidRPr="00B24B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., в т.ч. водопостачання: 2070,53 </w:t>
      </w:r>
      <w:proofErr w:type="spellStart"/>
      <w:r w:rsidRPr="00B24B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., водовідведення 3236,81 </w:t>
      </w:r>
      <w:proofErr w:type="spellStart"/>
      <w:r w:rsidRPr="00B24B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24B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В межах інвестиційної програми </w:t>
      </w:r>
      <w:proofErr w:type="spellStart"/>
      <w:r w:rsidRPr="00B24BBA"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24BBA">
        <w:rPr>
          <w:rFonts w:ascii="Times New Roman" w:hAnsi="Times New Roman" w:cs="Times New Roman"/>
          <w:sz w:val="24"/>
          <w:szCs w:val="24"/>
          <w:lang w:val="uk-UA"/>
        </w:rPr>
        <w:t>ВУВКГ м. Херсона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 має намір реалізувати наступні проекти: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- Реконструкція ВНС-1 у м. Херсоні 1-ша черга (придбання та заміна 3 засувок Д400мм)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- Технічне переоснащення свердловин із заміною насосного обладнання (28 од.)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- Заміна магістральних засувок на водогонах (6 од.)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- Встановлення засобу обліку на НСВ-5 (1 од.)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- Встановлення засобів обліку на багатоквартирні будинки (16 од.)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- Придбання стикового зварювального апарату з комплектом вкладишів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 xml:space="preserve">- Заміна роторного компресору ВР 155-150/1/1,6Ш на новий з </w:t>
      </w:r>
      <w:proofErr w:type="spellStart"/>
      <w:r w:rsidRPr="00B24BBA">
        <w:rPr>
          <w:rFonts w:ascii="Times New Roman" w:hAnsi="Times New Roman" w:cs="Times New Roman"/>
          <w:sz w:val="24"/>
          <w:szCs w:val="24"/>
          <w:lang w:val="uk-UA"/>
        </w:rPr>
        <w:t>ча</w:t>
      </w:r>
      <w:proofErr w:type="spellEnd"/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- Встановлення приладів обліку стоків на насосних станціях каналізації та приладів обліку осаду та мулу на очисних спорудах (4 од.)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- Заміна ділянки напірного трубопроводу від ГНСК до МОС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4BBA">
        <w:rPr>
          <w:rFonts w:ascii="Times New Roman" w:hAnsi="Times New Roman" w:cs="Times New Roman"/>
          <w:sz w:val="24"/>
          <w:szCs w:val="24"/>
          <w:lang w:val="uk-UA"/>
        </w:rPr>
        <w:t>по вул. Причальна від пров.1-го Червоного до пр. Насипного (241 м)</w:t>
      </w:r>
    </w:p>
    <w:p w:rsidR="00B24BBA" w:rsidRPr="00B24BBA" w:rsidRDefault="00B24BBA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B2E48" w:rsidRPr="00B24BBA" w:rsidRDefault="00CB2E48" w:rsidP="00B24B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2E48" w:rsidRPr="00B24BBA" w:rsidSect="00CB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4BBA"/>
    <w:rsid w:val="00B24BBA"/>
    <w:rsid w:val="00CB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2017-07-16T18:08:00Z</dcterms:created>
  <dcterms:modified xsi:type="dcterms:W3CDTF">2017-07-16T18:08:00Z</dcterms:modified>
</cp:coreProperties>
</file>